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DA" w:rsidRDefault="009332DA">
      <w:pPr>
        <w:widowControl/>
        <w:spacing w:after="0" w:line="240" w:lineRule="auto"/>
        <w:ind w:firstLine="708"/>
        <w:jc w:val="center"/>
        <w:rPr>
          <w:lang w:val="en-US"/>
        </w:rPr>
      </w:pP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О порядке установления и применения тарифов региональных операторов на коммунальную услугу по обращению с твердыми коммунальными отходами</w:t>
      </w: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>Нормативно правовыми актами Российской Федерации определен срок перехода на новую систему обращения с твердыми коммунальными отходами не позднее 01 января 2019 года.</w:t>
      </w: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>Во исполнение норм федерального  законодательства регулирующим органам субъектов Российской Федерации в установленный законодательством срок не позднее 20 декабря 2018 года необходимо было  установить единые тарифы для региональных операторов.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  <w:r w:rsidRPr="00766BFF">
        <w:rPr>
          <w:sz w:val="28"/>
          <w:szCs w:val="28"/>
        </w:rPr>
        <w:t xml:space="preserve">Территориальной схемой обращения с твердыми коммунальными отходами (далее – ТКО) территория области поделена на пять кластеров. По каждому кластеру в результате проведения конкурса определен свой региональный оператор. Управлением государственного регулирования цен и тарифов области (далее – управление) тарифы установлены в срок для каждого регионального оператора по каждому кластеру.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7009"/>
        <w:gridCol w:w="2384"/>
      </w:tblGrid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Кластера  </w:t>
            </w:r>
          </w:p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(зона деятельности регионального оператора)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Величина установленного предельного единого тарифа на услуги регионального оператора в сфере обращения с ТКО,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№1 (г</w:t>
            </w:r>
            <w:proofErr w:type="gramStart"/>
            <w:r>
              <w:t>.З</w:t>
            </w:r>
            <w:proofErr w:type="gramEnd"/>
            <w:r>
              <w:t xml:space="preserve">ея, г.Тында, </w:t>
            </w:r>
            <w:proofErr w:type="spellStart"/>
            <w:r>
              <w:t>Сковородинский</w:t>
            </w:r>
            <w:proofErr w:type="spellEnd"/>
            <w:r>
              <w:t xml:space="preserve"> район, </w:t>
            </w:r>
            <w:proofErr w:type="spellStart"/>
            <w:r>
              <w:t>Зейский</w:t>
            </w:r>
            <w:proofErr w:type="spellEnd"/>
            <w:r>
              <w:t xml:space="preserve"> район, </w:t>
            </w:r>
            <w:proofErr w:type="spellStart"/>
            <w:r>
              <w:t>Магдагачинский</w:t>
            </w:r>
            <w:proofErr w:type="spellEnd"/>
            <w:r>
              <w:t xml:space="preserve"> район, Тындинский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596,16</w:t>
            </w:r>
          </w:p>
        </w:tc>
      </w:tr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№2 (г</w:t>
            </w:r>
            <w:proofErr w:type="gramStart"/>
            <w:r>
              <w:t>.Б</w:t>
            </w:r>
            <w:proofErr w:type="gramEnd"/>
            <w:r>
              <w:t xml:space="preserve">елогорск, Белогорский район, </w:t>
            </w:r>
            <w:proofErr w:type="spellStart"/>
            <w:r>
              <w:t>Ромненский</w:t>
            </w:r>
            <w:proofErr w:type="spellEnd"/>
            <w:r>
              <w:t xml:space="preserve"> район, </w:t>
            </w:r>
            <w:proofErr w:type="spellStart"/>
            <w:r>
              <w:t>Серышевский</w:t>
            </w:r>
            <w:proofErr w:type="spellEnd"/>
            <w:r>
              <w:t xml:space="preserve"> район, Октябрьский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615,94</w:t>
            </w:r>
          </w:p>
        </w:tc>
      </w:tr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№3 (г</w:t>
            </w:r>
            <w:proofErr w:type="gramStart"/>
            <w:r>
              <w:t>.Р</w:t>
            </w:r>
            <w:proofErr w:type="gramEnd"/>
            <w:r>
              <w:t xml:space="preserve">айчихинск, </w:t>
            </w:r>
            <w:proofErr w:type="spellStart"/>
            <w:r>
              <w:t>п.г.т.Прогресс</w:t>
            </w:r>
            <w:proofErr w:type="spellEnd"/>
            <w:r>
              <w:t xml:space="preserve">, </w:t>
            </w:r>
            <w:proofErr w:type="spellStart"/>
            <w:r>
              <w:t>Архаринский</w:t>
            </w:r>
            <w:proofErr w:type="spellEnd"/>
            <w:r>
              <w:t xml:space="preserve"> район, </w:t>
            </w:r>
            <w:proofErr w:type="spellStart"/>
            <w:r>
              <w:t>Бурейский</w:t>
            </w:r>
            <w:proofErr w:type="spellEnd"/>
            <w:r>
              <w:t xml:space="preserve"> район, </w:t>
            </w:r>
            <w:proofErr w:type="spellStart"/>
            <w:r>
              <w:t>Завитинский</w:t>
            </w:r>
            <w:proofErr w:type="spellEnd"/>
            <w:r>
              <w:t xml:space="preserve"> район, Константиновский район, Михайловский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516,92</w:t>
            </w:r>
          </w:p>
        </w:tc>
      </w:tr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№4 (г</w:t>
            </w:r>
            <w:proofErr w:type="gramStart"/>
            <w:r>
              <w:t>.Б</w:t>
            </w:r>
            <w:proofErr w:type="gramEnd"/>
            <w:r>
              <w:t>лаговещенск, Благовещенский район, Ивановский район, Тамбовский район)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539,89</w:t>
            </w:r>
          </w:p>
        </w:tc>
      </w:tr>
      <w:tr w:rsidR="009332DA">
        <w:tc>
          <w:tcPr>
            <w:tcW w:w="7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t>КЛАСТЕР №5 (г</w:t>
            </w:r>
            <w:proofErr w:type="gramStart"/>
            <w:r>
              <w:t>.С</w:t>
            </w:r>
            <w:proofErr w:type="gramEnd"/>
            <w:r>
              <w:t xml:space="preserve">вободный, г.Шимановск, Свободненский район, Шимановский район, </w:t>
            </w:r>
            <w:proofErr w:type="spellStart"/>
            <w:r>
              <w:t>Мазановский</w:t>
            </w:r>
            <w:proofErr w:type="spellEnd"/>
            <w:r>
              <w:t xml:space="preserve"> район, Селемджинский район, ЗАТО Циолковский)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580,95</w:t>
            </w:r>
          </w:p>
        </w:tc>
      </w:tr>
    </w:tbl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Какие затраты входят в структуру тарифа</w:t>
      </w: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 xml:space="preserve">В соответствии с законодательством в структуру расходов региональных операторов  при установлении тарифов  включены расходы на захоронение ТКО, расходы на транспортировку ТКО, расходы регоператора на заключение договоров и прочие расходы на ведение хозяйственной деятельности. Более 80% в структуре расходов региональных операторов, на которые </w:t>
      </w:r>
      <w:proofErr w:type="gramStart"/>
      <w:r w:rsidRPr="00766BFF">
        <w:rPr>
          <w:sz w:val="28"/>
          <w:szCs w:val="28"/>
        </w:rPr>
        <w:t>рассчитаны и установлены</w:t>
      </w:r>
      <w:proofErr w:type="gramEnd"/>
      <w:r w:rsidRPr="00766BFF">
        <w:rPr>
          <w:sz w:val="28"/>
          <w:szCs w:val="28"/>
        </w:rPr>
        <w:t xml:space="preserve"> тарифы, занимают расходы на транспортирование ТКО. </w:t>
      </w: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Размер тарифов по сравнению с другими регионами</w:t>
      </w: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 xml:space="preserve">Управлением проведен анализ принятых тарифных решений для региональных операторов области в сравнении с тарифами региональных операторов других субъектов Российской Федерации. Установленные тарифы на территории Амурской области являются одними из </w:t>
      </w:r>
      <w:proofErr w:type="gramStart"/>
      <w:r w:rsidRPr="00766BFF">
        <w:rPr>
          <w:sz w:val="28"/>
          <w:szCs w:val="28"/>
        </w:rPr>
        <w:t>минимальных</w:t>
      </w:r>
      <w:proofErr w:type="gramEnd"/>
      <w:r w:rsidRPr="00766BFF">
        <w:rPr>
          <w:sz w:val="28"/>
          <w:szCs w:val="28"/>
        </w:rPr>
        <w:t xml:space="preserve">. </w:t>
      </w:r>
    </w:p>
    <w:p w:rsidR="009332DA" w:rsidRPr="00766BFF" w:rsidRDefault="009332DA">
      <w:pPr>
        <w:widowControl/>
        <w:spacing w:after="0" w:line="240" w:lineRule="auto"/>
        <w:jc w:val="both"/>
      </w:pPr>
    </w:p>
    <w:p w:rsidR="009332DA" w:rsidRPr="00766BFF" w:rsidRDefault="009332DA">
      <w:pPr>
        <w:widowControl/>
        <w:spacing w:after="0" w:line="240" w:lineRule="auto"/>
        <w:jc w:val="center"/>
      </w:pP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lastRenderedPageBreak/>
        <w:t xml:space="preserve">*по Амурской области указан предельный единый тариф, установленный для регионального оператора по кластеру 2, поскольку является самым высоким в сравнении с тарифами, установленными для региональных операторов области по другим кластерам.   </w:t>
      </w: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Изменение платежа за ТКО по сравнению с 2018 годом</w:t>
      </w: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 xml:space="preserve">Путем сравнения платы за вывоз ТКО </w:t>
      </w:r>
      <w:proofErr w:type="gramStart"/>
      <w:r w:rsidRPr="00766BFF">
        <w:rPr>
          <w:sz w:val="28"/>
          <w:szCs w:val="28"/>
        </w:rPr>
        <w:t>в</w:t>
      </w:r>
      <w:proofErr w:type="gramEnd"/>
      <w:r w:rsidRPr="00766BFF">
        <w:rPr>
          <w:sz w:val="28"/>
          <w:szCs w:val="28"/>
        </w:rPr>
        <w:t xml:space="preserve"> </w:t>
      </w:r>
      <w:proofErr w:type="gramStart"/>
      <w:r w:rsidRPr="00766BFF">
        <w:rPr>
          <w:sz w:val="28"/>
          <w:szCs w:val="28"/>
        </w:rPr>
        <w:t>действующих</w:t>
      </w:r>
      <w:proofErr w:type="gramEnd"/>
      <w:r w:rsidRPr="00766BFF">
        <w:rPr>
          <w:sz w:val="28"/>
          <w:szCs w:val="28"/>
        </w:rPr>
        <w:t xml:space="preserve"> условиях и платы, рассчитанной исходя из утвержденных тарифов для региональных операторов и нормативов накопления ТКО проведен анализ изменения размера платежа граждан за коммунальные услуги при переходе к новой системе обращения с ТКО. 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766BFF">
        <w:rPr>
          <w:sz w:val="28"/>
          <w:szCs w:val="28"/>
        </w:rPr>
        <w:t xml:space="preserve">Размер  платы в зависимости от кластера составит от 247,04 рублей до 294,36 рублей  в месяц в расчете на условную квартиру (54 квадратных метра) в многоквартирных домах и от 123,52 рублей до 147,18 рублей в месяц в жилых домах в расчете на жилое помещение площадью </w:t>
      </w:r>
      <w:r>
        <w:rPr>
          <w:sz w:val="28"/>
          <w:szCs w:val="28"/>
          <w:lang w:val="en-US"/>
        </w:rPr>
        <w:t xml:space="preserve">54 </w:t>
      </w:r>
      <w:proofErr w:type="spellStart"/>
      <w:r>
        <w:rPr>
          <w:sz w:val="28"/>
          <w:szCs w:val="28"/>
          <w:lang w:val="en-US"/>
        </w:rPr>
        <w:t>квадратных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метра</w:t>
      </w:r>
      <w:proofErr w:type="spellEnd"/>
      <w:r>
        <w:rPr>
          <w:sz w:val="28"/>
          <w:szCs w:val="28"/>
          <w:lang w:val="en-US"/>
        </w:rPr>
        <w:t>.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766BFF">
        <w:rPr>
          <w:sz w:val="28"/>
          <w:szCs w:val="28"/>
        </w:rPr>
        <w:t xml:space="preserve">В расчете на условную однокомнатную квартиру площадью </w:t>
      </w:r>
      <w:r>
        <w:rPr>
          <w:sz w:val="28"/>
          <w:szCs w:val="28"/>
          <w:lang w:val="en-US"/>
        </w:rPr>
        <w:t xml:space="preserve">33 </w:t>
      </w:r>
      <w:proofErr w:type="spellStart"/>
      <w:r>
        <w:rPr>
          <w:sz w:val="28"/>
          <w:szCs w:val="28"/>
          <w:lang w:val="en-US"/>
        </w:rPr>
        <w:t>квадратных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метра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150,97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179,89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месяц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многоквартирных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домах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75,49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89,95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месяц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жилых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домах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расчете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жилое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помещение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площадью</w:t>
      </w:r>
      <w:proofErr w:type="spellEnd"/>
      <w:r>
        <w:rPr>
          <w:sz w:val="28"/>
          <w:szCs w:val="28"/>
          <w:lang w:val="en-US"/>
        </w:rPr>
        <w:t xml:space="preserve"> 33 </w:t>
      </w:r>
      <w:proofErr w:type="spellStart"/>
      <w:r>
        <w:rPr>
          <w:sz w:val="28"/>
          <w:szCs w:val="28"/>
          <w:lang w:val="en-US"/>
        </w:rPr>
        <w:t>квадратных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метра</w:t>
      </w:r>
      <w:proofErr w:type="spellEnd"/>
      <w:r>
        <w:rPr>
          <w:sz w:val="28"/>
          <w:szCs w:val="28"/>
          <w:lang w:val="en-US"/>
        </w:rPr>
        <w:t>.</w:t>
      </w:r>
      <w:r>
        <w:rPr>
          <w:color w:val="FFFFFF"/>
          <w:sz w:val="28"/>
          <w:szCs w:val="28"/>
          <w:lang w:val="en-US"/>
        </w:rPr>
        <w:t xml:space="preserve"> 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 xml:space="preserve">Рост в зависимости от  применяемых в 2018 году в муниципальных образованиях области цен и нормативов, которые </w:t>
      </w:r>
      <w:proofErr w:type="gramStart"/>
      <w:r w:rsidRPr="00766BFF">
        <w:rPr>
          <w:sz w:val="28"/>
          <w:szCs w:val="28"/>
        </w:rPr>
        <w:t>учитывались в составе платежа за жилищные услуги и не подлежали</w:t>
      </w:r>
      <w:proofErr w:type="gramEnd"/>
      <w:r w:rsidRPr="00766BFF">
        <w:rPr>
          <w:sz w:val="28"/>
          <w:szCs w:val="28"/>
        </w:rPr>
        <w:t xml:space="preserve"> государственному регулированию, составит по многоквартирным домам (в расчете на условную квартиру 54 квадратных метра) - от 13,88 рублей до 214,01 рублей.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766BFF">
        <w:rPr>
          <w:sz w:val="28"/>
          <w:szCs w:val="28"/>
        </w:rPr>
        <w:t xml:space="preserve">По жилым домам платеж составит (в расчете на жилое помещение площадью </w:t>
      </w:r>
      <w:r>
        <w:rPr>
          <w:sz w:val="28"/>
          <w:szCs w:val="28"/>
          <w:lang w:val="en-US"/>
        </w:rPr>
        <w:t xml:space="preserve">54 </w:t>
      </w:r>
      <w:proofErr w:type="spellStart"/>
      <w:r>
        <w:rPr>
          <w:sz w:val="28"/>
          <w:szCs w:val="28"/>
          <w:lang w:val="en-US"/>
        </w:rPr>
        <w:t>квадратных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метра</w:t>
      </w:r>
      <w:proofErr w:type="spellEnd"/>
      <w:r>
        <w:rPr>
          <w:sz w:val="28"/>
          <w:szCs w:val="28"/>
          <w:lang w:val="en-US"/>
        </w:rPr>
        <w:t xml:space="preserve">) 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123,52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147,18 </w:t>
      </w:r>
      <w:proofErr w:type="spellStart"/>
      <w:r>
        <w:rPr>
          <w:sz w:val="28"/>
          <w:szCs w:val="28"/>
          <w:lang w:val="en-US"/>
        </w:rPr>
        <w:t>рублей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месяц</w:t>
      </w:r>
      <w:proofErr w:type="spellEnd"/>
      <w:r>
        <w:rPr>
          <w:sz w:val="28"/>
          <w:szCs w:val="28"/>
          <w:lang w:val="en-US"/>
        </w:rPr>
        <w:t xml:space="preserve">, в </w:t>
      </w:r>
      <w:proofErr w:type="spellStart"/>
      <w:r>
        <w:rPr>
          <w:sz w:val="28"/>
          <w:szCs w:val="28"/>
          <w:lang w:val="en-US"/>
        </w:rPr>
        <w:t>том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числе</w:t>
      </w:r>
      <w:proofErr w:type="spellEnd"/>
      <w:r>
        <w:rPr>
          <w:sz w:val="28"/>
          <w:szCs w:val="28"/>
          <w:lang w:val="en-US"/>
        </w:rPr>
        <w:t xml:space="preserve"> по </w:t>
      </w:r>
      <w:proofErr w:type="spellStart"/>
      <w:r>
        <w:rPr>
          <w:sz w:val="28"/>
          <w:szCs w:val="28"/>
          <w:lang w:val="en-US"/>
        </w:rPr>
        <w:t>кластерам</w:t>
      </w:r>
      <w:proofErr w:type="spellEnd"/>
      <w:r>
        <w:rPr>
          <w:sz w:val="28"/>
          <w:szCs w:val="28"/>
          <w:lang w:val="en-US"/>
        </w:rPr>
        <w:t>:</w:t>
      </w:r>
      <w:r>
        <w:t xml:space="preserve"> 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 xml:space="preserve">Как повлияет изменение платы за ТКО на размер </w:t>
      </w:r>
    </w:p>
    <w:p w:rsidR="009332DA" w:rsidRPr="00766BFF" w:rsidRDefault="009332DA">
      <w:pPr>
        <w:widowControl/>
        <w:spacing w:after="0" w:line="24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 xml:space="preserve"> совокупной платы за коммунальные услуги  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766BFF">
        <w:rPr>
          <w:sz w:val="28"/>
          <w:szCs w:val="28"/>
        </w:rPr>
        <w:t xml:space="preserve">В структуре совокупной платы за коммунальные услуги плата за услугу по обращению в сфере ТКО занимает небольшой удельный вес (на примере условной квартиры площадью </w:t>
      </w:r>
      <w:r>
        <w:rPr>
          <w:sz w:val="28"/>
          <w:szCs w:val="28"/>
          <w:lang w:val="en-US"/>
        </w:rPr>
        <w:t xml:space="preserve">54 </w:t>
      </w:r>
      <w:proofErr w:type="spellStart"/>
      <w:proofErr w:type="gramStart"/>
      <w:r>
        <w:rPr>
          <w:sz w:val="28"/>
          <w:szCs w:val="28"/>
          <w:lang w:val="en-US"/>
        </w:rPr>
        <w:t>квадратных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метра</w:t>
      </w:r>
      <w:proofErr w:type="spellEnd"/>
      <w:r>
        <w:rPr>
          <w:sz w:val="28"/>
          <w:szCs w:val="28"/>
          <w:lang w:val="en-US"/>
        </w:rPr>
        <w:t xml:space="preserve"> - 4%):</w:t>
      </w:r>
    </w:p>
    <w:p w:rsidR="009332DA" w:rsidRDefault="009332DA">
      <w:pPr>
        <w:widowControl/>
        <w:spacing w:after="0" w:line="240" w:lineRule="auto"/>
        <w:jc w:val="both"/>
        <w:rPr>
          <w:lang w:val="en-US"/>
        </w:rPr>
      </w:pPr>
    </w:p>
    <w:p w:rsidR="009332DA" w:rsidRPr="00766BFF" w:rsidRDefault="009332DA">
      <w:pPr>
        <w:widowControl/>
        <w:spacing w:after="0" w:line="240" w:lineRule="auto"/>
        <w:ind w:firstLine="708"/>
        <w:jc w:val="both"/>
        <w:rPr>
          <w:sz w:val="28"/>
          <w:szCs w:val="28"/>
        </w:rPr>
      </w:pPr>
      <w:r w:rsidRPr="00766BFF">
        <w:rPr>
          <w:sz w:val="28"/>
          <w:szCs w:val="28"/>
        </w:rPr>
        <w:t>В связи с тем, что в структуре совокупного коммунального платежа плата за ТКО занимает небольшой удельный вес, рост совокупного платежа за коммунальные услуги с 01 апреля 2019 года с учетом платы за ТКО составит на примере условной квартиры – от 0,9 до 3,5%.</w:t>
      </w:r>
    </w:p>
    <w:p w:rsidR="009332DA" w:rsidRPr="00766BFF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 xml:space="preserve">С какого времени за ТКО необходимо будет платить </w:t>
      </w:r>
    </w:p>
    <w:p w:rsidR="009332DA" w:rsidRPr="00766BFF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 xml:space="preserve">региональному оператору </w:t>
      </w:r>
    </w:p>
    <w:p w:rsidR="009332DA" w:rsidRPr="00766BFF" w:rsidRDefault="009332DA">
      <w:pPr>
        <w:widowControl/>
        <w:spacing w:after="0" w:line="240" w:lineRule="auto"/>
        <w:ind w:firstLine="539"/>
        <w:jc w:val="both"/>
        <w:rPr>
          <w:sz w:val="28"/>
          <w:szCs w:val="28"/>
        </w:rPr>
      </w:pPr>
      <w:r w:rsidRPr="00766BFF">
        <w:rPr>
          <w:sz w:val="28"/>
          <w:szCs w:val="28"/>
        </w:rPr>
        <w:t xml:space="preserve">Согласно соглашениям, заключенным в рамках Федерального закона от 24.06.1998 № 89-ФЗ «Об отходах производства и потребления» между Министерством </w:t>
      </w:r>
      <w:proofErr w:type="gramStart"/>
      <w:r w:rsidRPr="00766BFF">
        <w:rPr>
          <w:sz w:val="28"/>
          <w:szCs w:val="28"/>
        </w:rPr>
        <w:t>жилищно - коммунального</w:t>
      </w:r>
      <w:proofErr w:type="gramEnd"/>
      <w:r w:rsidRPr="00766BFF">
        <w:rPr>
          <w:sz w:val="28"/>
          <w:szCs w:val="28"/>
        </w:rPr>
        <w:t xml:space="preserve"> хозяйства области и региональными операторами обязательства по сбору, вывозу, транспортировке твердых коммунальных отходов отложены сроком на 3 месяца, т.е. до 1 апреля 2019 года. </w:t>
      </w:r>
    </w:p>
    <w:p w:rsidR="009332DA" w:rsidRPr="00766BFF" w:rsidRDefault="009332DA">
      <w:pPr>
        <w:widowControl/>
        <w:spacing w:after="0" w:line="240" w:lineRule="auto"/>
        <w:ind w:firstLine="540"/>
        <w:jc w:val="both"/>
        <w:rPr>
          <w:sz w:val="28"/>
          <w:szCs w:val="28"/>
        </w:rPr>
      </w:pPr>
      <w:r w:rsidRPr="00766BFF">
        <w:rPr>
          <w:sz w:val="28"/>
          <w:szCs w:val="28"/>
        </w:rPr>
        <w:lastRenderedPageBreak/>
        <w:t xml:space="preserve">Таким образом, обязанность по внесению платы </w:t>
      </w:r>
      <w:r w:rsidRPr="00766BFF">
        <w:rPr>
          <w:b/>
          <w:bCs/>
          <w:sz w:val="28"/>
          <w:szCs w:val="28"/>
        </w:rPr>
        <w:t>за коммунальную услугу по обращению с твердыми коммунальными отходами</w:t>
      </w:r>
      <w:r w:rsidRPr="00766BFF">
        <w:rPr>
          <w:sz w:val="28"/>
          <w:szCs w:val="28"/>
        </w:rPr>
        <w:t xml:space="preserve"> наступает с 1 апреля 2019 года.</w:t>
      </w:r>
    </w:p>
    <w:p w:rsidR="009332DA" w:rsidRPr="00766BFF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Как правильно рассчитать плату за ТКО</w:t>
      </w:r>
    </w:p>
    <w:p w:rsidR="009332DA" w:rsidRPr="00766BFF" w:rsidRDefault="009332DA">
      <w:pPr>
        <w:widowControl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6BFF">
        <w:rPr>
          <w:b/>
          <w:bCs/>
          <w:sz w:val="28"/>
          <w:szCs w:val="28"/>
          <w:u w:val="single"/>
        </w:rPr>
        <w:t>с 1 апреля 2019 года</w:t>
      </w:r>
    </w:p>
    <w:p w:rsidR="009332DA" w:rsidRDefault="009332DA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  <w:r w:rsidRPr="00766BFF">
        <w:rPr>
          <w:sz w:val="28"/>
          <w:szCs w:val="28"/>
        </w:rPr>
        <w:t>Размер платы за ТКО с 1 апреля 2019 года определяется по формуле: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618"/>
        <w:gridCol w:w="1560"/>
        <w:gridCol w:w="416"/>
        <w:gridCol w:w="1635"/>
        <w:gridCol w:w="628"/>
        <w:gridCol w:w="1851"/>
        <w:gridCol w:w="73"/>
        <w:gridCol w:w="567"/>
        <w:gridCol w:w="1401"/>
      </w:tblGrid>
      <w:tr w:rsidR="009332DA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Формула: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Плата за услугу Регионального оператора,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Предельный единый тариф регионального оператора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Норматив накопления ТКО</w:t>
            </w:r>
          </w:p>
        </w:tc>
        <w:tc>
          <w:tcPr>
            <w:tcW w:w="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жилого помещения</w:t>
            </w:r>
          </w:p>
        </w:tc>
      </w:tr>
      <w:tr w:rsidR="009332DA">
        <w:tc>
          <w:tcPr>
            <w:tcW w:w="974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32DA" w:rsidRDefault="009332DA">
            <w:pPr>
              <w:widowControl/>
              <w:spacing w:after="0" w:line="240" w:lineRule="auto"/>
              <w:ind w:firstLine="733"/>
              <w:jc w:val="both"/>
              <w:rPr>
                <w:sz w:val="28"/>
                <w:szCs w:val="28"/>
                <w:lang w:val="en-US"/>
              </w:rPr>
            </w:pPr>
            <w:r w:rsidRPr="00766BFF">
              <w:rPr>
                <w:sz w:val="28"/>
                <w:szCs w:val="28"/>
              </w:rPr>
              <w:t xml:space="preserve">Расчет размера платы за ТКО по каждому кластеру приведен ниже на примере условной квартиры площадью </w:t>
            </w:r>
            <w:r>
              <w:rPr>
                <w:sz w:val="28"/>
                <w:szCs w:val="28"/>
                <w:lang w:val="en-US"/>
              </w:rPr>
              <w:t>54 м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>
              <w:rPr>
                <w:sz w:val="28"/>
                <w:szCs w:val="28"/>
                <w:lang w:val="en-US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2DA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en-US"/>
              </w:rPr>
              <w:t>Кластеру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№ 1</w:t>
            </w:r>
            <w:r>
              <w:rPr>
                <w:sz w:val="20"/>
                <w:szCs w:val="20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284,90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596,16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6F07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en-US"/>
              </w:rPr>
              <w:t>Кластеру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№ 2</w:t>
            </w:r>
            <w:r>
              <w:rPr>
                <w:sz w:val="20"/>
                <w:szCs w:val="20"/>
              </w:rPr>
              <w:t>:</w:t>
            </w:r>
          </w:p>
          <w:p w:rsidR="009332DA" w:rsidRDefault="009332D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294,36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615,94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332DA" w:rsidRDefault="009332DA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6F07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en-US"/>
              </w:rPr>
              <w:t>Кластеру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№ 3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247,04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516,92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6F07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en-US"/>
              </w:rPr>
              <w:t>Кластеру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№ 4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258,01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539,89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6F07"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расчета</w:t>
            </w:r>
            <w:r>
              <w:rPr>
                <w:sz w:val="2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en-US"/>
              </w:rPr>
              <w:t>Кластеру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№ 5</w:t>
            </w:r>
            <w:r>
              <w:rPr>
                <w:sz w:val="20"/>
                <w:szCs w:val="20"/>
              </w:rPr>
              <w:t>:</w:t>
            </w:r>
          </w:p>
          <w:p w:rsidR="006D6F07" w:rsidRDefault="006D6F07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277,64</w:t>
            </w:r>
            <w:r>
              <w:rPr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580,95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28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/мес.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D6F07" w:rsidRDefault="006D6F0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6D6F07" w:rsidRDefault="006D6F07">
      <w:pPr>
        <w:widowControl/>
        <w:spacing w:after="0" w:line="240" w:lineRule="auto"/>
        <w:ind w:firstLine="708"/>
        <w:jc w:val="both"/>
        <w:rPr>
          <w:sz w:val="24"/>
          <w:szCs w:val="24"/>
        </w:rPr>
      </w:pPr>
    </w:p>
    <w:p w:rsidR="006D6F07" w:rsidRDefault="006D6F07">
      <w:pPr>
        <w:pStyle w:val="a5"/>
        <w:widowControl/>
        <w:spacing w:before="144" w:after="144"/>
      </w:pPr>
    </w:p>
    <w:sectPr w:rsidR="006D6F07" w:rsidSect="00455BA7">
      <w:type w:val="continuous"/>
      <w:pgSz w:w="11905" w:h="16837"/>
      <w:pgMar w:top="850" w:right="850" w:bottom="623" w:left="1701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332DA"/>
    <w:rsid w:val="00455BA7"/>
    <w:rsid w:val="006D6F07"/>
    <w:rsid w:val="00766BFF"/>
    <w:rsid w:val="00931F6C"/>
    <w:rsid w:val="009332DA"/>
    <w:rsid w:val="0093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uiPriority w:val="99"/>
    <w:rsid w:val="00455BA7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455BA7"/>
  </w:style>
  <w:style w:type="character" w:styleId="a3">
    <w:name w:val="Hyperlink"/>
    <w:basedOn w:val="a0"/>
    <w:uiPriority w:val="99"/>
    <w:rsid w:val="00455BA7"/>
  </w:style>
  <w:style w:type="paragraph" w:customStyle="1" w:styleId="TriangleList">
    <w:name w:val="Triangle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rsid w:val="00455BA7"/>
    <w:pPr>
      <w:spacing w:before="440" w:after="60" w:line="240" w:lineRule="auto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rsid w:val="00455BA7"/>
    <w:pPr>
      <w:spacing w:before="440" w:after="60" w:line="240" w:lineRule="auto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ding4">
    <w:name w:val="Heading 4"/>
    <w:basedOn w:val="a"/>
    <w:next w:val="a"/>
    <w:uiPriority w:val="99"/>
    <w:rsid w:val="00455BA7"/>
    <w:pPr>
      <w:spacing w:before="440" w:after="60" w:line="240" w:lineRule="auto"/>
    </w:pPr>
    <w:rPr>
      <w:rFonts w:ascii="Liberation Sans" w:hAnsi="Liberation Sans" w:cs="Liberation Sans"/>
      <w:b/>
      <w:bCs/>
      <w:sz w:val="24"/>
      <w:szCs w:val="24"/>
    </w:rPr>
  </w:style>
  <w:style w:type="paragraph" w:customStyle="1" w:styleId="ArrowheadList">
    <w:name w:val="Arrowhead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4">
    <w:name w:val="Block Text"/>
    <w:basedOn w:val="a"/>
    <w:uiPriority w:val="99"/>
    <w:rsid w:val="00455BA7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rsid w:val="00455BA7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  <w:rsid w:val="00455BA7"/>
  </w:style>
  <w:style w:type="paragraph" w:customStyle="1" w:styleId="FootnoteText">
    <w:name w:val="Footnote Text"/>
    <w:basedOn w:val="a"/>
    <w:uiPriority w:val="99"/>
    <w:rsid w:val="00455BA7"/>
    <w:pPr>
      <w:spacing w:after="0" w:line="240" w:lineRule="auto"/>
    </w:pPr>
    <w:rPr>
      <w:sz w:val="20"/>
      <w:szCs w:val="20"/>
    </w:rPr>
  </w:style>
  <w:style w:type="paragraph" w:customStyle="1" w:styleId="Heading3">
    <w:name w:val="Heading 3"/>
    <w:basedOn w:val="a"/>
    <w:next w:val="a"/>
    <w:uiPriority w:val="99"/>
    <w:rsid w:val="00455BA7"/>
    <w:pPr>
      <w:spacing w:before="440" w:after="60" w:line="240" w:lineRule="auto"/>
    </w:pPr>
    <w:rPr>
      <w:rFonts w:ascii="Liberation Sans" w:hAnsi="Liberation Sans" w:cs="Liberation Sans"/>
      <w:b/>
      <w:bCs/>
      <w:sz w:val="24"/>
      <w:szCs w:val="24"/>
    </w:rPr>
  </w:style>
  <w:style w:type="paragraph" w:styleId="a5">
    <w:name w:val="Normal (Web)"/>
    <w:basedOn w:val="Normal"/>
    <w:uiPriority w:val="99"/>
    <w:rsid w:val="00455BA7"/>
    <w:pPr>
      <w:spacing w:before="100" w:after="100"/>
    </w:pPr>
  </w:style>
  <w:style w:type="paragraph" w:customStyle="1" w:styleId="NumberedList">
    <w:name w:val="Numbered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rsid w:val="00455BA7"/>
    <w:pPr>
      <w:spacing w:after="0" w:line="240" w:lineRule="auto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455BA7"/>
  </w:style>
  <w:style w:type="paragraph" w:customStyle="1" w:styleId="HandList">
    <w:name w:val="Hand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6">
    <w:name w:val="Plain Text"/>
    <w:basedOn w:val="a"/>
    <w:link w:val="a7"/>
    <w:uiPriority w:val="99"/>
    <w:rsid w:val="00455BA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455BA7"/>
    <w:rPr>
      <w:rFonts w:ascii="Courier New" w:hAnsi="Courier New" w:cs="Courier New"/>
      <w:sz w:val="20"/>
      <w:szCs w:val="20"/>
    </w:rPr>
  </w:style>
  <w:style w:type="paragraph" w:customStyle="1" w:styleId="StarList">
    <w:name w:val="Star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rsid w:val="00455BA7"/>
    <w:pPr>
      <w:tabs>
        <w:tab w:val="clear" w:pos="431"/>
        <w:tab w:val="left" w:pos="1584"/>
      </w:tabs>
    </w:pPr>
  </w:style>
  <w:style w:type="paragraph" w:styleId="a8">
    <w:name w:val="Balloon Text"/>
    <w:basedOn w:val="Normal"/>
    <w:link w:val="a9"/>
    <w:uiPriority w:val="99"/>
    <w:semiHidden/>
    <w:rsid w:val="0045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55BA7"/>
    <w:rPr>
      <w:rFonts w:ascii="Tahoma" w:hAnsi="Tahoma" w:cs="Tahoma"/>
      <w:sz w:val="16"/>
      <w:szCs w:val="16"/>
    </w:rPr>
  </w:style>
  <w:style w:type="character" w:customStyle="1" w:styleId="pt-a0-000012">
    <w:name w:val="pt-a0-000012"/>
    <w:basedOn w:val="a0"/>
    <w:uiPriority w:val="99"/>
    <w:rsid w:val="00455BA7"/>
  </w:style>
  <w:style w:type="paragraph" w:customStyle="1" w:styleId="ImpliesList">
    <w:name w:val="Implies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TickList">
    <w:name w:val="Tick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Endnote">
    <w:name w:val="Endnote"/>
    <w:basedOn w:val="a"/>
    <w:uiPriority w:val="99"/>
    <w:rsid w:val="00455BA7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DashedList">
    <w:name w:val="Dashed List"/>
    <w:uiPriority w:val="99"/>
    <w:rsid w:val="00455BA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455BA7"/>
    <w:pPr>
      <w:spacing w:after="0" w:line="240" w:lineRule="auto"/>
      <w:ind w:left="720" w:hanging="431"/>
    </w:pPr>
    <w:rPr>
      <w:sz w:val="24"/>
      <w:szCs w:val="24"/>
    </w:rPr>
  </w:style>
  <w:style w:type="character" w:customStyle="1" w:styleId="FootnoteReference">
    <w:name w:val="Footnote Reference"/>
    <w:uiPriority w:val="99"/>
    <w:rsid w:val="00455BA7"/>
    <w:rPr>
      <w:sz w:val="20"/>
      <w:szCs w:val="20"/>
      <w:vertAlign w:val="superscript"/>
    </w:rPr>
  </w:style>
  <w:style w:type="paragraph" w:customStyle="1" w:styleId="EndnoteText">
    <w:name w:val="Endnote Text"/>
    <w:basedOn w:val="a"/>
    <w:uiPriority w:val="99"/>
    <w:rsid w:val="00455BA7"/>
    <w:pPr>
      <w:spacing w:after="0" w:line="240" w:lineRule="auto"/>
    </w:pPr>
    <w:rPr>
      <w:sz w:val="24"/>
      <w:szCs w:val="24"/>
    </w:rPr>
  </w:style>
  <w:style w:type="character" w:customStyle="1" w:styleId="EndnoteReference">
    <w:name w:val="Endnote Reference"/>
    <w:uiPriority w:val="99"/>
    <w:rsid w:val="00455BA7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a"/>
    <w:uiPriority w:val="99"/>
    <w:rsid w:val="00455BA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rsid w:val="00455BA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rsid w:val="00455BA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a"/>
    <w:uiPriority w:val="99"/>
    <w:rsid w:val="00455BA7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a"/>
    <w:next w:val="a"/>
    <w:uiPriority w:val="99"/>
    <w:rsid w:val="00455BA7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455BA7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455BA7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455BA7"/>
    <w:pPr>
      <w:spacing w:after="0" w:line="240" w:lineRule="auto"/>
      <w:ind w:left="2880" w:hanging="43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5234</Characters>
  <Application>Microsoft Office Word</Application>
  <DocSecurity>0</DocSecurity>
  <Lines>43</Lines>
  <Paragraphs>12</Paragraphs>
  <ScaleCrop>false</ScaleCrop>
  <Company>WolfishLair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и применения тарифов региональных операторов на коммунальную услугу по обращению с твердыми коммунальными отходами</dc:title>
  <dc:creator>Ковалевская</dc:creator>
  <cp:lastModifiedBy>1</cp:lastModifiedBy>
  <cp:revision>2</cp:revision>
  <cp:lastPrinted>2019-02-19T04:21:00Z</cp:lastPrinted>
  <dcterms:created xsi:type="dcterms:W3CDTF">2019-02-19T04:22:00Z</dcterms:created>
  <dcterms:modified xsi:type="dcterms:W3CDTF">2019-02-19T04:22:00Z</dcterms:modified>
</cp:coreProperties>
</file>